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1364</w:t>
        <w:t xml:space="preserve">.  </w:t>
      </w:r>
      <w:r>
        <w:rPr>
          <w:b/>
        </w:rPr>
        <w:t xml:space="preserve">Agreements subject to this chapter</w:t>
      </w:r>
    </w:p>
    <w:p>
      <w:pPr>
        <w:jc w:val="both"/>
        <w:spacing w:before="100" w:after="100"/>
        <w:ind w:start="360"/>
        <w:ind w:firstLine="360"/>
      </w:pPr>
      <w:r>
        <w:rPr/>
      </w:r>
      <w:r>
        <w:rPr/>
      </w:r>
      <w:r>
        <w:t xml:space="preserve">Written or oral agreements between a manufacturer and a distributor or dealer, including but not limited to franchise offerings, franchise agreements, agreements for sales of goods, advertising, leases or mortgages of goods, promises to pay, security interests, pledges, insurance contracts, advertising contracts, construction or installation contracts, servicing contracts and all other agreements in which the manufacturer has a direct or indirect interest, are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195,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195,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§1364. Agreements subject to this 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§1364. Agreements subject to this 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§1364. AGREEMENTS SUBJECT TO THIS 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