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Legislative findings and purpose</w:t>
      </w:r>
    </w:p>
    <w:p>
      <w:pPr>
        <w:jc w:val="both"/>
        <w:spacing w:before="100" w:after="100"/>
        <w:ind w:start="360"/>
        <w:ind w:firstLine="360"/>
      </w:pPr>
      <w:r>
        <w:rPr/>
      </w:r>
      <w:r>
        <w:rPr/>
      </w:r>
      <w:r>
        <w:t xml:space="preserve">The Legislature finds and declares that the distribution and retail sale of motor fuels at reasonable prices and in adequate supply throughout the State vitally affects the public health, welfare and safety, and that increased competition at all levels of the motor fuel market and maintenance within that market of a significant proportion of businesses independent of major marketers and refiners will promote reasonable prices and better assure supplies to all areas of the State. It is therefore necessary to define and regulate the relationship between parties to franchise agreements involving the sale or distribution of motor fuels in the State and to prescribe other trade practices.</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§1452.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§1452.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