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3-1406</w:t>
        <w:t xml:space="preserve">.  </w:t>
      </w:r>
      <w:r>
        <w:rPr>
          <w:b/>
        </w:rPr>
        <w:t xml:space="preserve">Negligence contributing to forged signature or alteration of instrument</w:t>
      </w:r>
    </w:p>
    <w:p>
      <w:pPr>
        <w:jc w:val="both"/>
        <w:spacing w:before="100" w:after="0"/>
        <w:ind w:start="360"/>
        <w:ind w:firstLine="360"/>
      </w:pPr>
      <w:r>
        <w:rPr>
          <w:b/>
        </w:rPr>
        <w:t>(1)</w:t>
        <w:t xml:space="preserve">.  </w:t>
      </w:r>
      <w:r>
        <w:rPr>
          <w:b/>
        </w:rPr>
      </w:r>
      <w:r>
        <w:t xml:space="preserve"> </w:t>
      </w:r>
      <w:r>
        <w:t xml:space="preserve">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Under </w:t>
      </w:r>
      <w:r>
        <w:t>subsection (1)</w:t>
      </w:r>
      <w:r>
        <w:t xml:space="preserve">,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Under </w:t>
      </w:r>
      <w:r>
        <w:t>subsection (1)</w:t>
      </w:r>
      <w:r>
        <w:t xml:space="preserve">, the burden of proving failure to exercise ordinary care is on the person asserting the preclusion.  Under </w:t>
      </w:r>
      <w:r>
        <w:t>subsection (2)</w:t>
      </w:r>
      <w:r>
        <w:t xml:space="preserve">, the burden of proving failure to exercise ordinary care is on the person precluded.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§3-1406. Negligence contributing to forged signature or alteration of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§3-1406. Negligence contributing to forged signature or alteration of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§3-1406. NEGLIGENCE CONTRIBUTING TO FORGED SIGNATURE OR ALTERATION OF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