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10051</w:t>
        <w:t xml:space="preserve">.  </w:t>
      </w:r>
      <w:r>
        <w:rPr>
          <w:b/>
        </w:rPr>
        <w:t xml:space="preserve">Department established</w:t>
      </w:r>
    </w:p>
    <w:p>
      <w:pPr>
        <w:jc w:val="both"/>
        <w:spacing w:before="100" w:after="100"/>
        <w:ind w:start="360"/>
        <w:ind w:firstLine="360"/>
      </w:pPr>
      <w:r>
        <w:rPr/>
      </w:r>
      <w:r>
        <w:rPr/>
      </w:r>
      <w:r>
        <w:t xml:space="preserve">The Department of Inland Fisheries and Wildlife is established to preserve, protect and enhance the inland fisheries and wildlife resources of the State; to encourage the wise use of these resources; to ensure coordinated planning for the future use and preservation of these resources; to provide for effective management of these resources; and to use regulated hunting, fishing and trapping as the basis for the management of these resources whenever feasible.</w:t>
      </w:r>
      <w:r>
        <w:t xml:space="preserve">  </w:t>
      </w:r>
      <w:r xmlns:wp="http://schemas.openxmlformats.org/drawingml/2010/wordprocessingDrawing" xmlns:w15="http://schemas.microsoft.com/office/word/2012/wordml">
        <w:rPr>
          <w:rFonts w:ascii="Arial" w:hAnsi="Arial" w:cs="Arial"/>
          <w:sz w:val="22"/>
          <w:szCs w:val="22"/>
        </w:rPr>
        <w:t xml:space="preserve">[PL 2015, c. 416, §1 (AMD).]</w:t>
      </w:r>
    </w:p>
    <w:p>
      <w:pPr>
        <w:jc w:val="both"/>
        <w:spacing w:before="100" w:after="100"/>
        <w:ind w:start="360"/>
        <w:ind w:firstLine="360"/>
      </w:pPr>
      <w:r>
        <w:rPr/>
      </w:r>
      <w:r>
        <w:rPr/>
      </w:r>
      <w:r>
        <w:t xml:space="preserve">The department consists of the Commissioner of Inland Fisheries and Wildlife, a deputy commissioner, the Division of Licensing, Registration and Engineering, the Bureau of Resource Management and the Bureau of Warden Service. The department also includes the Advisory Board for the Licensing of Guides and whatever state agencies that are designated. The department is under the control and supervision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652, Pt. A,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340, §1 (AMD). PL 2009, c. 369, Pt. A, §26 (AMD). PL 2009, c. 652, Pt. A, §13 (AMD). PL 2015, c. 416,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§10051. Department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§10051. Department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§10051. DEPARTMENT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