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w:t>
        <w:t xml:space="preserve">.  </w:t>
      </w:r>
      <w:r>
        <w:rPr>
          <w:b/>
        </w:rPr>
        <w:t xml:space="preserve">Nonreserved Public Lands Management Fund</w:t>
      </w:r>
    </w:p>
    <w:p>
      <w:pPr>
        <w:jc w:val="both"/>
        <w:spacing w:before="100" w:after="100"/>
        <w:ind w:start="360"/>
        <w:ind w:firstLine="360"/>
      </w:pPr>
      <w:r>
        <w:rPr>
          <w:b/>
        </w:rPr>
        <w:t>1</w:t>
        <w:t xml:space="preserve">.  </w:t>
      </w:r>
      <w:r>
        <w:rPr>
          <w:b/>
        </w:rPr>
        <w:t xml:space="preserve">Revenue sources.</w:t>
        <w:t xml:space="preserve"> </w:t>
      </w:r>
      <w:r>
        <w:t xml:space="preserve"> </w:t>
      </w:r>
      <w:r>
        <w:t xml:space="preserve">Except as provided in </w:t>
      </w:r>
      <w:r>
        <w:t>paragraph A</w:t>
      </w:r>
      <w:r>
        <w:t xml:space="preserve">, the bureau must receive all money, securities and other things of value accruing to the State: from the sale of nonreserved public lands, timber and grass and other rights and things of value from the nonreserved public lands under the care, custody, control or management of the bureau; in payment for timber, grass and other things of value cut or taken by trespassers; from forfeiture of a bond or a deposit when a contractor does not fulfill the terms of the contract or comply with state regulations; or as a result of a compromise or settlement of any claim.</w:t>
      </w:r>
    </w:p>
    <w:p>
      <w:pPr>
        <w:jc w:val="both"/>
        <w:spacing w:before="100" w:after="0"/>
        <w:ind w:start="720"/>
      </w:pPr>
      <w:r>
        <w:rPr/>
        <w:t>A</w:t>
        <w:t xml:space="preserve">.  </w:t>
      </w:r>
      <w:r>
        <w:rPr/>
      </w:r>
      <w:r>
        <w:t xml:space="preserve">The first $20,000 in the aggregate of any money accruing from the alienation of rights to mine upon nonreserved public land, or other income arising out of mining operations, that is actually received during any fiscal year, and every portion thereof accruing from these mining operations, must be paid into the Division of Geology, Natural Areas and Coastal Resources.</w:t>
      </w:r>
      <w:r>
        <w:t xml:space="preserve">  </w:t>
      </w:r>
      <w:r xmlns:wp="http://schemas.openxmlformats.org/drawingml/2010/wordprocessingDrawing" xmlns:w15="http://schemas.microsoft.com/office/word/2012/wordml">
        <w:rPr>
          <w:rFonts w:ascii="Arial" w:hAnsi="Arial" w:cs="Arial"/>
          <w:sz w:val="22"/>
          <w:szCs w:val="22"/>
        </w:rPr>
        <w:t xml:space="preserve">[PL 2013, c. 405, Pt. C,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§24 (REV); PL 2013, c. 405, Pt. C, §8 (AMD).]</w:t>
      </w:r>
    </w:p>
    <w:p>
      <w:pPr>
        <w:jc w:val="both"/>
        <w:spacing w:before="100" w:after="0"/>
        <w:ind w:start="360"/>
        <w:ind w:firstLine="360"/>
      </w:pPr>
      <w:r>
        <w:rPr>
          <w:b/>
        </w:rPr>
        <w:t>2</w:t>
        <w:t xml:space="preserve">.  </w:t>
      </w:r>
      <w:r>
        <w:rPr>
          <w:b/>
        </w:rPr>
        <w:t xml:space="preserve">Fund established.</w:t>
        <w:t xml:space="preserve"> </w:t>
      </w:r>
      <w:r>
        <w:t xml:space="preserve"> </w:t>
      </w:r>
      <w:r>
        <w:t xml:space="preserve">To accomplish the purposes of this subchapter, there is established the Nonreserved Public Lands Management Fund.  All income received by the bureau pursuant to this subchapter must be recorded on the books of the State in a separate account and deposited with the Treasurer of State to be credited to the Nonreserved Public Lands Management Fund.  Any interest earned on this money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Expenditure of funds.</w:t>
        <w:t xml:space="preserve"> </w:t>
      </w:r>
      <w:r>
        <w:t xml:space="preserve"> </w:t>
      </w:r>
      <w:r>
        <w:t xml:space="preserve">Money credited to the Nonreserved Public Lands Management Fund may be used only to produce a sustained yield of goods and services from those lands for multiple use purposes in accordance with the principles of sound planning and sound business practices or for the acquisition of additional land for the same purpose.  Any balance remaining continues from year to year as a fund available only for the purposes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Legislative approval of 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LLLL,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556, §18 (AMD). PL 2011, c. 655, Pt. KK, §10 (AMD). PL 2011, c. 655, Pt. KK, §34 (AFF). PL 2011, c. 657, Pt. W, §7 (REV). PL 2013, c. 368, Pt. LLLL, §1 (AMD). PL 2013, c. 405, Pt. A, §24 (REV). PL 2013, c. 405, Pt. C,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§1835. Nonreserved Public Lands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 Nonreserved Public Lands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§1835. NONRESERVED PUBLIC LANDS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