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Filing duty of the Secretary of State</w:t>
      </w:r>
    </w:p>
    <w:p>
      <w:pPr>
        <w:jc w:val="both"/>
        <w:spacing w:before="100" w:after="100"/>
        <w:ind w:start="360"/>
        <w:ind w:firstLine="360"/>
      </w:pPr>
      <w:r>
        <w:rPr/>
      </w:r>
      <w:r>
        <w:rPr/>
      </w:r>
      <w:r>
        <w:t xml:space="preserve">If a certificate delivered for filing with the Secretary of State satisfies the requirements of this chapter, the Secretary of State shall file the certificate.  The date of filing is the date of receipt by the Secretary of State.  After filing any certificate under this chapter, the Secretary of State shall deliver to the corporation or its representative a copy of the document with an acknowledgement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2003,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Filing duty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Filing duty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§907. FILING DUTY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