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Execution returned and recorded</w:t>
      </w:r>
    </w:p>
    <w:p>
      <w:pPr>
        <w:jc w:val="both"/>
        <w:spacing w:before="100" w:after="100"/>
        <w:ind w:start="360"/>
        <w:ind w:firstLine="360"/>
      </w:pPr>
      <w:r>
        <w:rPr/>
      </w:r>
      <w:r>
        <w:rPr/>
      </w:r>
      <w:r>
        <w:t xml:space="preserve">The officer shall return the execution into the clerk's office where it is returnable, and within 3 months after completing the levy cause it, with the return thereon, to be recorded in the registry of deeds where the land lies.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§2016. Execution returned and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Execution returned and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§2016. EXECUTION RETURNED AND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