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3138</w:t>
        <w:t xml:space="preserve">.  </w:t>
      </w:r>
      <w:r>
        <w:rPr>
          <w:b/>
        </w:rPr>
        <w:t xml:space="preserve">Enforcement of administrative orders</w:t>
      </w:r>
    </w:p>
    <w:p>
      <w:pPr>
        <w:jc w:val="both"/>
        <w:spacing w:before="100" w:after="100"/>
        <w:ind w:start="360"/>
        <w:ind w:firstLine="360"/>
      </w:pPr>
      <w:r>
        <w:rPr/>
      </w:r>
      <w:r>
        <w:rPr/>
      </w:r>
      <w:r>
        <w:t xml:space="preserve">An administrative order of any agency or department requiring the payment of money to that agency or department is enforceable through the Superior Court under the following procedure.  A certified copy of the administrative order must be filed with the court in the county in which the administrative order was issued.  The administrative order must be accompanied by an affidavit from an authorized representative of the agency or department or from an assistant attorney general acting as counsel for the agency.  The affidavit must state the facts showing that the agency or department provided notice of and opportunity for a hearing to contest the claim, that all applicable time periods for appeal have run and that the administrative order is final.</w:t>
      </w:r>
      <w:r>
        <w:t xml:space="preserve">  </w:t>
      </w:r>
      <w:r xmlns:wp="http://schemas.openxmlformats.org/drawingml/2010/wordprocessingDrawing" xmlns:w15="http://schemas.microsoft.com/office/word/2012/wordml">
        <w:rPr>
          <w:rFonts w:ascii="Arial" w:hAnsi="Arial" w:cs="Arial"/>
          <w:sz w:val="22"/>
          <w:szCs w:val="22"/>
        </w:rPr>
        <w:t xml:space="preserve">[PL 2011, c. 181, §1 (NEW).]</w:t>
      </w:r>
    </w:p>
    <w:p>
      <w:pPr>
        <w:jc w:val="both"/>
        <w:spacing w:before="100" w:after="100"/>
        <w:ind w:start="360"/>
        <w:ind w:firstLine="360"/>
      </w:pPr>
      <w:r>
        <w:rPr/>
      </w:r>
      <w:r>
        <w:rPr/>
      </w:r>
      <w:r>
        <w:t xml:space="preserve">The court shall then render a pro forma decision in accordance with the administrative order of the agency, which has the same effect as if it were rendered in an action in which equitable relief is sought, duly heard and determined by the court.  The decision may thereafter be enforced as a money judgment pursuant to this chapter and </w:t>
      </w:r>
      <w:r>
        <w:t>chapter 502‑A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§3138. Enforcement of administrative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§3138. Enforcement of administrative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§3138. ENFORCEMENT OF ADMINISTRATIVE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