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7104</w:t>
        <w:t xml:space="preserve">.  </w:t>
      </w:r>
      <w:r>
        <w:rPr>
          <w:b/>
        </w:rPr>
        <w:t xml:space="preserve">Contempt for failure to comply</w:t>
      </w:r>
    </w:p>
    <w:p>
      <w:pPr>
        <w:jc w:val="both"/>
        <w:spacing w:before="100" w:after="100"/>
        <w:ind w:start="360"/>
        <w:ind w:firstLine="360"/>
      </w:pPr>
      <w:r>
        <w:rPr/>
      </w:r>
      <w:r>
        <w:rPr/>
      </w:r>
      <w:r>
        <w:t xml:space="preserve">If the attorney does not perform the decree of such justice, he shall be committed for contempt until he does or is otherwise lawfully discharged, and his name shall be struck from the roll of attorneys.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§7104. Contempt for failure to comply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§7104. Contempt for failure to comply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§7104. CONTEMPT FOR FAILURE TO COMPLY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