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OFFENSES AGAINST PUBLIC ADMINISTRATION</w:t>
      </w:r>
    </w:p>
    <w:p>
      <w:pPr>
        <w:jc w:val="both"/>
        <w:spacing w:before="100" w:after="100"/>
        <w:ind w:start="1080" w:hanging="720"/>
      </w:pPr>
      <w:r>
        <w:rPr>
          <w:b/>
        </w:rPr>
        <w:t>§</w:t>
        <w:t>751</w:t>
        <w:t xml:space="preserve">.  </w:t>
      </w:r>
      <w:r>
        <w:rPr>
          <w:b/>
        </w:rPr>
        <w:t xml:space="preserve">Obstructing government administration</w:t>
      </w:r>
    </w:p>
    <w:p>
      <w:pPr>
        <w:jc w:val="both"/>
        <w:spacing w:before="100" w:after="0"/>
        <w:ind w:start="360"/>
        <w:ind w:firstLine="360"/>
      </w:pPr>
      <w:r>
        <w:rPr>
          <w:b/>
        </w:rPr>
        <w:t>1</w:t>
        <w:t xml:space="preserve">.  </w:t>
      </w:r>
      <w:r>
        <w:rPr>
          <w:b/>
        </w:rPr>
      </w:r>
      <w:r>
        <w:t xml:space="preserve"> </w:t>
      </w:r>
      <w:r>
        <w:t xml:space="preserve">A person is guilty of obstructing government administration if the person intentionally interferes by force, violence or intimidation or by any physical act with a public servant performing or purporting to perform an official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§5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Refusal by a person to submit to an arrest or detention;</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B</w:t>
        <w:t xml:space="preserve">.  </w:t>
      </w:r>
      <w:r>
        <w:rPr/>
      </w:r>
      <w:r>
        <w:t xml:space="preserve">Escape by a person from official custody, as defined in </w:t>
      </w:r>
      <w:r>
        <w:t>section 755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C</w:t>
        <w:t xml:space="preserve">.  </w:t>
      </w:r>
      <w:r>
        <w:rPr/>
      </w:r>
      <w:r>
        <w:t xml:space="preserve">Intentional interference by a person under </w:t>
      </w:r>
      <w:r>
        <w:t>Title 21‑A, section 674,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§1 (AMD).]</w:t>
      </w:r>
    </w:p>
    <w:p>
      <w:pPr>
        <w:jc w:val="both"/>
        <w:spacing w:before="100" w:after="0"/>
        <w:ind w:start="360"/>
        <w:ind w:firstLine="360"/>
      </w:pPr>
      <w:r>
        <w:rPr>
          <w:b/>
        </w:rPr>
        <w:t>3</w:t>
        <w:t xml:space="preserve">.  </w:t>
      </w:r>
      <w:r>
        <w:rPr>
          <w:b/>
        </w:rPr>
      </w:r>
      <w:r>
        <w:t xml:space="preserve"> </w:t>
      </w:r>
      <w:r>
        <w:t xml:space="preserve">Obstructing government administration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351, §2 (AMD). PL 2003, c. 657, §5 (AMD). PL 2021, c. 568, §1 (AMD). </w:t>
      </w:r>
    </w:p>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jc w:val="both"/>
        <w:spacing w:before="100" w:after="100"/>
        <w:ind w:start="1080" w:hanging="720"/>
      </w:pPr>
      <w:r>
        <w:rPr>
          <w:b/>
        </w:rPr>
        <w:t>§</w:t>
        <w:t>752-A</w:t>
        <w:t xml:space="preserve">.  </w:t>
      </w:r>
      <w:r>
        <w:rPr>
          <w:b/>
        </w:rPr>
        <w:t xml:space="preserve">Assault on an officer</w:t>
      </w:r>
    </w:p>
    <w:p>
      <w:pPr>
        <w:jc w:val="both"/>
        <w:spacing w:before="100" w:after="100"/>
        <w:ind w:start="360"/>
        <w:ind w:firstLine="360"/>
      </w:pPr>
      <w:r>
        <w:rPr>
          <w:b/>
        </w:rPr>
        <w:t>1</w:t>
        <w:t xml:space="preserve">.  </w:t>
      </w:r>
      <w:r>
        <w:rPr>
          <w:b/>
        </w:rPr>
      </w:r>
      <w:r>
        <w:t xml:space="preserve"> </w:t>
      </w:r>
      <w:r>
        <w:t xml:space="preserve">A person is guilty of assault on an officer if:</w:t>
      </w:r>
    </w:p>
    <w:p>
      <w:pPr>
        <w:jc w:val="both"/>
        <w:spacing w:before="100" w:after="0"/>
        <w:ind w:start="720"/>
      </w:pPr>
      <w:r>
        <w:rPr/>
        <w:t>A</w:t>
        <w:t xml:space="preserve">.  </w:t>
      </w:r>
      <w:r>
        <w:rPr/>
      </w:r>
      <w:r>
        <w:t xml:space="preserve">He intentionally, knowingly or recklessly causes bodily injury to a law enforcement officer while the officer is in the performance of his official duties; or</w:t>
      </w:r>
      <w:r>
        <w:t xml:space="preserve">  </w:t>
      </w:r>
      <w:r xmlns:wp="http://schemas.openxmlformats.org/drawingml/2010/wordprocessingDrawing" xmlns:w15="http://schemas.microsoft.com/office/word/2012/wordml">
        <w:rPr>
          <w:rFonts w:ascii="Arial" w:hAnsi="Arial" w:cs="Arial"/>
          <w:sz w:val="22"/>
          <w:szCs w:val="22"/>
        </w:rPr>
        <w:t xml:space="preserve">[PL 1977, c. 656, §2 (NEW).]</w:t>
      </w:r>
    </w:p>
    <w:p>
      <w:pPr>
        <w:jc w:val="both"/>
        <w:spacing w:before="100" w:after="0"/>
        <w:ind w:start="720"/>
      </w:pPr>
      <w:r>
        <w:rPr/>
        <w:t>B</w:t>
        <w:t xml:space="preserve">.  </w:t>
      </w:r>
      <w:r>
        <w:rPr/>
      </w:r>
      <w:r>
        <w:t xml:space="preserve">While in custody pursuant to an arrest or pursuant to a court order, the person commits an assault on a corrections officer, corrections supervisor or another member of the staff of an institution while the staff member is performing official duties.  As used in this paragraph "assault" means the crime defined in </w:t>
      </w:r>
      <w:r>
        <w:t>section 207,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 §1 (RP).]</w:t>
      </w:r>
    </w:p>
    <w:p>
      <w:pPr>
        <w:jc w:val="both"/>
        <w:spacing w:before="100" w:after="0"/>
        <w:ind w:start="360"/>
        <w:ind w:firstLine="360"/>
      </w:pPr>
      <w:r>
        <w:rPr>
          <w:b/>
        </w:rPr>
        <w:t>3</w:t>
        <w:t xml:space="preserve">.  </w:t>
      </w:r>
      <w:r>
        <w:rPr>
          <w:b/>
        </w:rPr>
      </w:r>
      <w:r>
        <w:t xml:space="preserve"> </w:t>
      </w:r>
      <w:r>
        <w:t xml:space="preserve">Assault on an officer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 PL 1983, c. 408, §§1,2 (AMD). PL 1997, c. 67, §1 (AMD). PL 2003, c. 205, §4 (AMD). </w:t>
      </w:r>
    </w:p>
    <w:p>
      <w:pPr>
        <w:jc w:val="both"/>
        <w:spacing w:before="100" w:after="100"/>
        <w:ind w:start="1080" w:hanging="720"/>
      </w:pPr>
      <w:r>
        <w:rPr>
          <w:b/>
        </w:rPr>
        <w:t>§</w:t>
        <w:t>752-B</w:t>
        <w:t xml:space="preserve">.  </w:t>
      </w:r>
      <w:r>
        <w:rPr>
          <w:b/>
        </w:rPr>
        <w:t xml:space="preserve">Unlawful interference with law enforcement dogs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dog if the person intentionally or knowingly:</w:t>
      </w:r>
    </w:p>
    <w:p>
      <w:pPr>
        <w:jc w:val="both"/>
        <w:spacing w:before="100" w:after="0"/>
        <w:ind w:start="720"/>
      </w:pPr>
      <w:r>
        <w:rPr/>
        <w:t>A</w:t>
        <w:t xml:space="preserve">.  </w:t>
      </w:r>
      <w:r>
        <w:rPr/>
      </w:r>
      <w:r>
        <w:t xml:space="preserve">Kills, mutilates or permanently disables any dog that is in fact certified for law enforcement use and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w:pPr>
        <w:jc w:val="both"/>
        <w:spacing w:before="100" w:after="0"/>
        <w:ind w:start="720"/>
      </w:pPr>
      <w:r>
        <w:rPr/>
        <w:t>B</w:t>
        <w:t xml:space="preserve">.  </w:t>
      </w:r>
      <w:r>
        <w:rPr/>
      </w:r>
      <w:r>
        <w:t xml:space="preserve">Torments, beats, strikes, injures, temporarily disables or otherwise mistreats any dog that is in fact certified for law enforcement use and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69, §1 (AMD).]</w:t>
      </w:r>
    </w:p>
    <w:p>
      <w:pPr>
        <w:jc w:val="both"/>
        <w:spacing w:before="100" w:after="0"/>
        <w:ind w:start="360"/>
        <w:ind w:firstLine="360"/>
      </w:pPr>
      <w:r>
        <w:rPr>
          <w:b/>
        </w:rPr>
        <w:t>2</w:t>
        <w:t xml:space="preserve">.  </w:t>
      </w:r>
      <w:r>
        <w:rPr>
          <w:b/>
        </w:rPr>
      </w:r>
      <w:r>
        <w:t xml:space="preserve"> </w:t>
      </w:r>
      <w:r>
        <w:t xml:space="preserve">For the purposes of this section, a dog is certified for law enforcement use if the State has certified that the dog has satisfactorily completed requisite training for one or more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 PL 2001, c. 383, §§82,83 (AMD). PL 2001, c. 383, §156 (AFF). PL 2005, c. 69, §1 (AMD). </w:t>
      </w:r>
    </w:p>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OFFENSES AGAINST PUBLIC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OFFENSES AGAINST PUBLIC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31. OFFENSES AGAINST PUBLIC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