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Deductions for individual who committed crime before October 1, 1995 and was sentenced prior to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prior to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based on law in effect at time of offense.</w:t>
        <w:t xml:space="preserve"> </w:t>
      </w:r>
      <w:r>
        <w:t xml:space="preserve"> </w:t>
      </w:r>
      <w:r>
        <w:t xml:space="preserve">Unless otherwise specifically provided by law, deductions based on conduct and participation from a sentence that was imposed prior to October 1, 1983 must be calculated in accordance with the laws in effect on the date the offense was committed. When a judgment of conviction involving a term of imprisonment is vacated or a sentence involving a term of imprisonment is revised or reviewed and a new sentence involving a term of imprisonment is thereafter imposed for the same offense, calculation of deductions based on conduct and participation must be in accordance with the laws in effect on the date that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Deductions for individual who committed crime before October 1, 1995 and was sentenced prior to October 1, 1983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Deductions for individual who committed crime before October 1, 1995 and was sentenced prior to October 1, 1983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§2311. DEDUCTIONS FOR INDIVIDUAL WHO COMMITTED CRIME BEFORE OCTOBER 1, 1995 AND WAS SENTENCED PRIOR TO OCTOBER 1, 1983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