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Acts by holder of general power</w:t>
      </w:r>
    </w:p>
    <w:p>
      <w:pPr>
        <w:jc w:val="both"/>
        <w:spacing w:before="100" w:after="100"/>
        <w:ind w:start="360"/>
        <w:ind w:firstLine="360"/>
      </w:pPr>
      <w:r>
        <w:rPr/>
      </w:r>
      <w:r>
        <w:rPr/>
      </w:r>
      <w:r>
        <w:t xml:space="preserve">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holders of a presently exercisable general power of appointment, including one in the form of a power of amendment or revocation, are deemed to act for beneficiaries to the extent their interests, as object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Acts by holder of general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Acts by holder of general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7. ACTS BY HOLDER OF GENERAL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