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1-304</w:t>
        <w:t xml:space="preserve">.  </w:t>
      </w:r>
      <w:r>
        <w:rPr>
          <w:b/>
        </w:rPr>
        <w:t xml:space="preserve">Rule-making power</w:t>
      </w:r>
    </w:p>
    <w:p>
      <w:pPr>
        <w:jc w:val="both"/>
        <w:spacing w:before="100" w:after="0"/>
        <w:ind w:start="360"/>
        <w:ind w:firstLine="360"/>
      </w:pPr>
      <w:r>
        <w:rPr>
          <w:b/>
        </w:rPr>
        <w:t>1</w:t>
        <w:t xml:space="preserve">.  </w:t>
      </w:r>
      <w:r>
        <w:rPr>
          <w:b/>
        </w:rPr>
        <w:t xml:space="preserve">Rules.</w:t>
        <w:t xml:space="preserve"> </w:t>
      </w:r>
      <w:r>
        <w:t xml:space="preserve"> </w:t>
      </w:r>
      <w:r>
        <w:t xml:space="preserve">The Supreme Judicial Court may prescribe by general rules the forms, practice and procedure, including rules of evidence, to be followed in all proceedings under this Code and all appeals from such proceedings.  The rules must be consistent with the provisions of this Code and may not abridge, enlarge or modify any substantive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Laws inconsistent with rules.</w:t>
        <w:t xml:space="preserve"> </w:t>
      </w:r>
      <w:r>
        <w:t xml:space="preserve"> </w:t>
      </w:r>
      <w:r>
        <w:t xml:space="preserve">After the effective date of the rules adopted or amended under </w:t>
      </w:r>
      <w:r>
        <w:t>subsection 1</w:t>
      </w:r>
      <w:r>
        <w:t xml:space="preserve">, all laws in conflict with those rules are of no further force or effect, except that in the event of a conflict with a provision of this Code, the Code provision prevails.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§1-304. Rule-making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§1-304. Rule-making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§1-304. RULE-MAKING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