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w:t>
        <w:t xml:space="preserve">.  </w:t>
      </w:r>
      <w:r>
        <w:rPr>
          <w:b/>
        </w:rPr>
        <w:t xml:space="preserve">Oath or affirmation on filed documents</w:t>
      </w:r>
    </w:p>
    <w:p>
      <w:pPr>
        <w:jc w:val="both"/>
        <w:spacing w:before="100" w:after="100"/>
        <w:ind w:start="360"/>
        <w:ind w:firstLine="360"/>
      </w:pPr>
      <w:r>
        <w:rPr/>
      </w:r>
      <w:r>
        <w:rPr/>
      </w:r>
      <w:r>
        <w:t xml:space="preserve">Except as otherwise specifically provided in this Code or by rule, every document filed with the court under this Code, including applications, petitions and demands for notice, is deemed to include an oath, affirmation or statement to the effect that its representations are true as far as the person executing or filing it knows or is informed.  Deliberate falsification may subject the person executing or filing the document to penalties for perjury.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§1-310. Oath or affirmation on filed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 Oath or affirmation on filed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§1-310. OATH OR AFFIRMATION ON FILED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