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Notice</w:t>
      </w:r>
    </w:p>
    <w:p>
      <w:pPr>
        <w:jc w:val="both"/>
        <w:spacing w:before="100" w:after="100"/>
        <w:ind w:start="360"/>
        <w:ind w:firstLine="360"/>
      </w:pPr>
      <w:r>
        <w:rPr/>
      </w:r>
      <w:r>
        <w:rPr/>
      </w:r>
      <w:r>
        <w:t xml:space="preserve">Whenever notice of any proceeding or any hearing is required under this Code, it must be given to any interested person in the manner the Supreme Judicial Court provides by rule.  Each notice must include notification of any right to contest or appeal and may be proved by the filing of an affidavit of notice.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§1-401.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§1-401.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