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§1-602. FILING AND CERTIFICATION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