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ind w:firstLine="360"/>
      </w:pPr>
      <w:r>
        <w:rPr/>
      </w:r>
      <w:r>
        <w:rPr/>
      </w:r>
      <w:r>
        <w:t xml:space="preserve">To the extent a power of attorney expressly grants an agent authority over the content of electronic communications sent or received by the principal and unless directed otherwise by the principal or the court, a custodian shall disclose to the agent the content of electronic communications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copy of the power of attorney expressly granting the agent authority over the content of electronic communications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§10-109. Disclosure of content of electronic communications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Disclosure of content of electronic communications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§10-109. DISCLOSURE OF CONTENT OF ELECTRONIC COMMUNICATIONS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