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Requirement of survival by 120 hours</w:t>
      </w:r>
    </w:p>
    <w:p>
      <w:pPr>
        <w:jc w:val="both"/>
        <w:spacing w:before="100" w:after="0"/>
        <w:ind w:start="360"/>
        <w:ind w:firstLine="360"/>
      </w:pPr>
      <w:r>
        <w:rPr>
          <w:b/>
        </w:rPr>
        <w:t>1</w:t>
        <w:t xml:space="preserve">.  </w:t>
      </w:r>
      <w:r>
        <w:rPr>
          <w:b/>
        </w:rPr>
        <w:t xml:space="preserve">Requirement of survival by 120 hours under Code.</w:t>
        <w:t xml:space="preserve"> </w:t>
      </w:r>
      <w:r>
        <w:t xml:space="preserve"> </w:t>
      </w:r>
      <w:r>
        <w:t xml:space="preserve">For the purposes of this Code, except as provided in </w:t>
      </w:r>
      <w:r>
        <w:t>subsection 4</w:t>
      </w:r>
      <w:r>
        <w:t xml:space="preserve">, an individual who has not been established by clear and convincing evidence to have survived an event, including the death of another individual,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Requirement of survival by 120 hours under governing instrument.</w:t>
        <w:t xml:space="preserve"> </w:t>
      </w:r>
      <w:r>
        <w:t xml:space="preserve"> </w:t>
      </w:r>
      <w:r>
        <w:t xml:space="preserve">Except as provided in </w:t>
      </w:r>
      <w:r>
        <w:t>subsection 4</w:t>
      </w:r>
      <w:r>
        <w:t xml:space="preserve">, for purposes of a provision of a governing instrument that relates to an individual surviving an event, including the death of another individual, an individual who has not been established by clear and convincing evidence to have survived the event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Co-owners with right of survivorship; requirement of survival by 120 hours.</w:t>
        <w:t xml:space="preserve"> </w:t>
      </w:r>
      <w:r>
        <w:t xml:space="preserve"> </w:t>
      </w:r>
      <w:r>
        <w:t xml:space="preserve">Except as provided in </w:t>
      </w:r>
      <w:r>
        <w:t>subsection 4</w:t>
      </w:r>
      <w:r>
        <w:t xml:space="preserve">, if:</w:t>
      </w:r>
    </w:p>
    <w:p>
      <w:pPr>
        <w:jc w:val="both"/>
        <w:spacing w:before="100" w:after="0"/>
        <w:ind w:start="720"/>
      </w:pPr>
      <w:r>
        <w:rPr/>
        <w:t>A</w:t>
        <w:t xml:space="preserve">.  </w:t>
      </w:r>
      <w:r>
        <w:rPr/>
      </w:r>
      <w:r>
        <w:t xml:space="preserve">It is not established by clear and convincing evidence that one of 2 co-owners with right of survivorship survived the other co-owner by 120 hours, 1/2 of the property passes as if one had survived by 120 hours and 1/2 as if the other had survived by 120 hours;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are more than 2 co-owners with right of survivorship and it is not established by clear and convincing evidence that at least one of them survived the others by 120 hours, the property passes in the proportion that one bears to the whole number of co-owners.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the purposes of this subsection, "co-owners with right of survivorship" includes joint tenants, tenants by the entireties and other co-owners of property or accounts held under circumstances that entitle one or more to the whole of the property or account on the death of the other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Survival by 120 hours is not required if:</w:t>
      </w:r>
    </w:p>
    <w:p>
      <w:pPr>
        <w:jc w:val="both"/>
        <w:spacing w:before="100" w:after="0"/>
        <w:ind w:start="720"/>
      </w:pPr>
      <w:r>
        <w:rPr/>
        <w:t>A</w:t>
        <w:t xml:space="preserve">.  </w:t>
      </w:r>
      <w:r>
        <w:rPr/>
      </w:r>
      <w:r>
        <w:t xml:space="preserve">The governing instrument contains language dealing explicitly with simultaneous deaths or deaths in a common disaster and that language is operable under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governing instrument expressly indicates that an individual is not required to survive an event, including the death of another individual, by any specified period or expressly requires the individual to survive the event by a specified period. Survival of the event and the specified period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imposition of a 120-hour requirement of survival would cause a nonvested property interest or a power of appointment to fail to qualify for validity under </w:t>
      </w:r>
      <w:r>
        <w:t>Title 33, section 111, subsection 1, paragraph A</w:t>
      </w:r>
      <w:r>
        <w:t xml:space="preserve">, </w:t>
      </w:r>
      <w:r>
        <w:t>subsection 2, paragraph A</w:t>
      </w:r>
      <w:r>
        <w:t xml:space="preserve"> or </w:t>
      </w:r>
      <w:r>
        <w:t>subsection 3, paragraph A</w:t>
      </w:r>
      <w:r>
        <w:t xml:space="preserve"> or to become invalid under </w:t>
      </w:r>
      <w:r>
        <w:t>Title 33, section 111, subsection 1, paragraph B</w:t>
      </w:r>
      <w:r>
        <w:t xml:space="preserve">, </w:t>
      </w:r>
      <w:r>
        <w:t>subsection 2, paragraph B</w:t>
      </w:r>
      <w:r>
        <w:t xml:space="preserve"> or </w:t>
      </w:r>
      <w:r>
        <w:t>subsection 3, paragraph B</w:t>
      </w:r>
      <w:r>
        <w:t xml:space="preserve">. Survival must be established by clear and convincing evidence;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application of a 120-hour requirement of survival to multiple governing instruments would result in an unintended failure or duplication of a disposition. Survival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Protection of payors and other 3rd parties.</w:t>
        <w:t xml:space="preserve"> </w:t>
      </w:r>
      <w:r>
        <w:t xml:space="preserve"> </w:t>
      </w:r>
      <w:r>
        <w:t xml:space="preserve">This subsection governs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who, under this section, is not entitled to the payment or item of property or for having taken any other action if that payment, transfer or other action is made in good faith reliance on the beneficiary's apparent entitlement under the terms of the governing instrument before the payor or other 3rd party received written notice of a claimed lack of entitlement under this section.  A payor or other 3rd party is liable for a payment or transfer made or other action taken after the payor or other 3rd party received written notice of a claimed lack of entitlement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lack of entitlement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lack of entitlement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and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Requirement of survival by 120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Requirement of survival by 120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§2-702. REQUIREMENT OF SURVIVAL BY 120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