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Part supplemented by other law</w:t>
      </w:r>
    </w:p>
    <w:p>
      <w:pPr>
        <w:jc w:val="both"/>
        <w:spacing w:before="100" w:after="0"/>
        <w:ind w:start="360"/>
        <w:ind w:firstLine="360"/>
      </w:pPr>
      <w:r>
        <w:rPr>
          <w:b/>
        </w:rPr>
        <w:t>1</w:t>
        <w:t xml:space="preserve">.  </w:t>
      </w:r>
      <w:r>
        <w:rPr>
          <w:b/>
        </w:rPr>
        <w:t xml:space="preserve">Principles of law and equity.</w:t>
        <w:t xml:space="preserve"> </w:t>
      </w:r>
      <w:r>
        <w:t xml:space="preserve"> </w:t>
      </w:r>
      <w:r>
        <w:t xml:space="preserve">Unless displaced by a provision of this Part, the principles of law and equity supplement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to waive, release, disclaim or renounce property interest.</w:t>
        <w:t xml:space="preserve"> </w:t>
      </w:r>
      <w:r>
        <w:t xml:space="preserve"> </w:t>
      </w:r>
      <w:r>
        <w:t xml:space="preserve">This Part does not limit any right of a person to waive, release, disclaim or renounce an interest in or power over property under a law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§2-904. Part supplemented by other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Part supplemented by other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§2-904. PART SUPPLEMENTED BY OTHER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