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Recording of disclaimer</w:t>
      </w:r>
    </w:p>
    <w:p>
      <w:pPr>
        <w:jc w:val="both"/>
        <w:spacing w:before="100" w:after="100"/>
        <w:ind w:start="360"/>
        <w:ind w:firstLine="360"/>
      </w:pPr>
      <w:r>
        <w:rPr/>
      </w:r>
      <w:r>
        <w:rPr/>
      </w:r>
      <w:r>
        <w:t xml:space="preserve">If an instrument transferring an interest in or power over property subject to a disclaimer is required or permitted by law to be filed, recorded or registered, the disclaimer may be so filed, recorded or registered.  Except as otherwise provided in </w:t>
      </w:r>
      <w:r>
        <w:t>section 2‑912, subsection 7, paragraph B</w:t>
      </w:r>
      <w:r>
        <w:t xml:space="preserve">, failure to file, record or register the disclaimer does not affect its validity as between the disclaimant and persons to whom the property interest or power passes by reason of the disclaimer.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§2-915. Recording of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Recording of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§2-915. RECORDING OF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