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Application to existing relationships</w:t>
      </w:r>
    </w:p>
    <w:p>
      <w:pPr>
        <w:jc w:val="both"/>
        <w:spacing w:before="100" w:after="100"/>
        <w:ind w:start="360"/>
        <w:ind w:firstLine="360"/>
      </w:pPr>
      <w:r>
        <w:rPr/>
      </w:r>
      <w:r>
        <w:rPr/>
      </w:r>
      <w:r>
        <w:t xml:space="preserve">Except as otherwise provided in </w:t>
      </w:r>
      <w:r>
        <w:t>section 2‑913</w:t>
      </w:r>
      <w:r>
        <w:t xml:space="preserve">, an interest in or power over property existing on September 1, 2019 as to which the time for delivering or filing a disclaimer under law superseded by this Part has not expired may be disclaimed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§2-916. Application to existing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Application to existing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§2-916. APPLICATION TO EXISTING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