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Powers</w:t>
      </w:r>
    </w:p>
    <w:p>
      <w:pPr>
        <w:jc w:val="both"/>
        <w:spacing w:before="100" w:after="100"/>
        <w:ind w:start="360"/>
        <w:ind w:firstLine="360"/>
      </w:pPr>
      <w:r>
        <w:rPr/>
      </w:r>
      <w:r>
        <w:rPr/>
      </w:r>
      <w:r>
        <w:t xml:space="preserve">A domiciliary foreign personal representative who has complied with </w:t>
      </w:r>
      <w:r>
        <w:t>section 4‑204</w:t>
      </w:r>
      <w:r>
        <w:t xml:space="preserve"> may exercise as to assets in this State all powers of a local personal representative and may maintain actions and proceedings in this State subject to any conditions imposed upon nonresident parties generally.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