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8-103</w:t>
        <w:t xml:space="preserve">.  </w:t>
      </w:r>
      <w:r>
        <w:rPr>
          <w:b/>
        </w:rPr>
        <w:t xml:space="preserve">Notice</w:t>
      </w:r>
    </w:p>
    <w:p>
      <w:pPr>
        <w:jc w:val="both"/>
        <w:spacing w:before="100" w:after="100"/>
        <w:ind w:start="360"/>
        <w:ind w:firstLine="360"/>
      </w:pPr>
      <w:r>
        <w:rPr/>
      </w:r>
      <w:r>
        <w:rPr/>
      </w:r>
      <w:r>
        <w:t xml:space="preserve">Upon the return of a warrant issued under </w:t>
      </w:r>
      <w:r>
        <w:t>section 8‑102</w:t>
      </w:r>
      <w:r>
        <w:t xml:space="preserve">, the court shall issue a notice reciting the substance of the petition, warrant and return, which must be addressed to the absentee, to all persons who claim an interest in the absentee's property and to all whom it may concern, ordering them to appear at a time and place named and show cause why a receiver of the property should not be appointed to hold and dispose of the property listed in the schedule under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§8-103.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§8-103.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§8-103.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