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Perishable goods</w:t>
      </w:r>
    </w:p>
    <w:p>
      <w:pPr>
        <w:jc w:val="both"/>
        <w:spacing w:before="100" w:after="100"/>
        <w:ind w:start="360"/>
        <w:ind w:firstLine="360"/>
      </w:pPr>
      <w:r>
        <w:rPr/>
      </w:r>
      <w:r>
        <w:rPr/>
      </w:r>
      <w:r>
        <w:t xml:space="preserve">The court may make orders for the care, custody, leasing and investing of all property and its proceeds in the possession of the receiver.  If any of the property consists of live animals or is perishable or cannot be kept without great or disproportionate expense, the court may, after the return of the warrant, order the property to be sold at public or private sale.  Upon petition of the receiver, the court may order all or part of the property, including the absentee's rights in land, to be sold at public or private sale to supply money for payments authorized by this Part or for reinvestment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§8-109.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