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8-209</w:t>
        <w:t xml:space="preserve">.  </w:t>
      </w:r>
      <w:r>
        <w:rPr>
          <w:b/>
        </w:rPr>
        <w:t xml:space="preserve">Actions on bonds</w:t>
      </w:r>
    </w:p>
    <w:p>
      <w:pPr>
        <w:jc w:val="both"/>
        <w:spacing w:before="100" w:after="100"/>
        <w:ind w:start="360"/>
        <w:ind w:firstLine="360"/>
      </w:pPr>
      <w:r>
        <w:rPr/>
      </w:r>
      <w:r>
        <w:rPr/>
      </w:r>
      <w:r>
        <w:t xml:space="preserve">Actions or proceedings on probate bonds of any kind payable to the State of Maine or the court may be commenced by any person interested in the estate or other matter for which the bond was given, either in the probate court in which the bond was filed or in the Superior Court of the county in which the bond was filed.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§8-209. Actions on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§8-209. Actions on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§8-209. ACTIONS ON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