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Expense account</w:t>
      </w:r>
    </w:p>
    <w:p>
      <w:pPr>
        <w:jc w:val="both"/>
        <w:spacing w:before="100" w:after="100"/>
        <w:ind w:start="360"/>
        <w:ind w:firstLine="360"/>
      </w:pPr>
      <w:r>
        <w:rPr/>
      </w:r>
      <w:r>
        <w:rPr/>
      </w:r>
      <w:r>
        <w:t xml:space="preserve">The "Governor's Expense Account" must be credited with those amounts that are appropriated by the Legislature for that purpose. This appropriation must be available for expenditure by the Governor at the Governor's discretion.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Expense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Expense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§2. EXPENSE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