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Expense account of Governor-elect</w:t>
      </w:r>
    </w:p>
    <w:p>
      <w:pPr>
        <w:jc w:val="both"/>
        <w:spacing w:before="100" w:after="100"/>
        <w:ind w:start="360"/>
        <w:ind w:firstLine="360"/>
      </w:pPr>
      <w:r>
        <w:rPr/>
      </w:r>
      <w:r>
        <w:rPr/>
      </w:r>
      <w:r>
        <w:t xml:space="preserve">The "Governor-elect's Expense Account" is a continuing reserve to which must be credited the sum of $5,000. At the close of each fiscal year there must be transferred from unappropriated surplus an amount sufficient to restore the expense account to $5,000.</w:t>
      </w:r>
      <w:r>
        <w:t xml:space="preserve">  </w:t>
      </w:r>
      <w:r xmlns:wp="http://schemas.openxmlformats.org/drawingml/2010/wordprocessingDrawing" xmlns:w15="http://schemas.microsoft.com/office/word/2012/wordml">
        <w:rPr>
          <w:rFonts w:ascii="Arial" w:hAnsi="Arial" w:cs="Arial"/>
          <w:sz w:val="22"/>
          <w:szCs w:val="22"/>
        </w:rPr>
        <w:t xml:space="preserve">[PL 2019, c. 475, §10 (AMD).]</w:t>
      </w:r>
    </w:p>
    <w:p>
      <w:pPr>
        <w:jc w:val="both"/>
        <w:spacing w:before="100" w:after="100"/>
        <w:ind w:start="360"/>
        <w:ind w:firstLine="360"/>
      </w:pPr>
      <w:r>
        <w:rPr/>
      </w:r>
      <w:r>
        <w:rPr/>
      </w:r>
      <w:r>
        <w:t xml:space="preserve">This appropriation must be available for expenditure by the Governor-elect at the Governor-elect's discretion after the Governor-elect has been elected to, but prior to being sworn in to, that Governor-elect's first term in office. This account is not subject to audit, except as to total amount to be paid.</w:t>
      </w:r>
      <w:r>
        <w:t xml:space="preserve">  </w:t>
      </w:r>
      <w:r xmlns:wp="http://schemas.openxmlformats.org/drawingml/2010/wordprocessingDrawing" xmlns:w15="http://schemas.microsoft.com/office/word/2012/wordml">
        <w:rPr>
          <w:rFonts w:ascii="Arial" w:hAnsi="Arial" w:cs="Arial"/>
          <w:sz w:val="22"/>
          <w:szCs w:val="22"/>
        </w:rPr>
        <w:t xml:space="preserve">[PL 2019, c. 475,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509, §1 (AMD). PL 2019, c. 475,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Expense account of Governor-elect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Expense account of Governor-elect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§3. EXPENSE ACCOUNT OF GOVERNOR-ELECT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