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6603</w:t>
        <w:t xml:space="preserve">.  </w:t>
      </w:r>
      <w:r>
        <w:rPr>
          <w:b/>
        </w:rPr>
        <w:t xml:space="preserve">Federal funds</w:t>
      </w:r>
    </w:p>
    <w:p>
      <w:pPr>
        <w:jc w:val="both"/>
        <w:spacing w:before="100" w:after="100"/>
        <w:ind w:start="360"/>
        <w:ind w:firstLine="360"/>
      </w:pPr>
      <w:r>
        <w:rPr/>
      </w:r>
      <w:r>
        <w:rPr/>
      </w:r>
      <w:r>
        <w:t xml:space="preserve">The Treasurer of State shall receive and disburse all federal funds received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§6603.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§6603.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§6603.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