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Per-pupil rate for children eligible under Part B, Section 619</w:t>
      </w:r>
    </w:p>
    <w:p>
      <w:pPr>
        <w:jc w:val="both"/>
        <w:spacing w:before="100" w:after="100"/>
        <w:ind w:start="360"/>
        <w:ind w:firstLine="360"/>
      </w:pPr>
      <w:r>
        <w:rPr/>
      </w:r>
      <w:r>
        <w:rPr/>
      </w:r>
      <w:r>
        <w:t xml:space="preserve">Funding for school administrative units that assume responsibility for child find activities and for ensuring a free, appropriate public education for children eligible under Part B, Section 619 pursuant to </w:t>
      </w:r>
      <w:r>
        <w:t>section 7006, subsection 2</w:t>
      </w:r>
      <w:r>
        <w:t xml:space="preserve"> may not be appropriated to or allocated through general purpose aid for local schools and must be provided at 100% state share. This funding must be calculated by the commissioner as follows.</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360"/>
        <w:ind w:firstLine="360"/>
      </w:pPr>
      <w:r>
        <w:rPr>
          <w:b/>
        </w:rPr>
        <w:t>1</w:t>
        <w:t xml:space="preserve">.  </w:t>
      </w:r>
      <w:r>
        <w:rPr>
          <w:b/>
        </w:rPr>
        <w:t xml:space="preserve">Per-pupil operating allocation.</w:t>
        <w:t xml:space="preserve"> </w:t>
      </w:r>
      <w:r>
        <w:t xml:space="preserve"> </w:t>
      </w:r>
      <w:r>
        <w:t xml:space="preserve">The per-pupil operating allocation for children eligible under Part B, Section 619 must be calculated on a per‑pupil basis in the same manner by which operating allocations are generated in </w:t>
      </w:r>
      <w:r>
        <w:t>sections 15674</w:t>
      </w:r>
      <w:r>
        <w:t xml:space="preserve">, </w:t>
      </w:r>
      <w:r>
        <w:t>15675</w:t>
      </w:r>
      <w:r>
        <w:t xml:space="preserve"> and </w:t>
      </w:r>
      <w:r>
        <w:t>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0"/>
        <w:ind w:start="360"/>
        <w:ind w:firstLine="360"/>
      </w:pPr>
      <w:r>
        <w:rPr>
          <w:b/>
        </w:rPr>
        <w:t>2</w:t>
        <w:t xml:space="preserve">.  </w:t>
      </w:r>
      <w:r>
        <w:rPr>
          <w:b/>
        </w:rPr>
        <w:t xml:space="preserve">Preschool special education and related services allocation.</w:t>
        <w:t xml:space="preserve"> </w:t>
      </w:r>
      <w:r>
        <w:t xml:space="preserve"> </w:t>
      </w:r>
      <w:r>
        <w:t xml:space="preserve">The preschool special education and related services per-pupil allocation must be calculated annually for children eligible under Part B, Section 619 at the EPS per-pupil rate for each school administrative unit under </w:t>
      </w:r>
      <w:r>
        <w:t>section 15676</w:t>
      </w:r>
      <w:r>
        <w:t xml:space="preserve">, multiplied by 1.5, for each eligible resident student. This allocation must be paid at the start of each quarter, based on the estimated student count on July 1st and adjusted to reflect actual counts on October 1st, with additional adjustments in subsequent quarters.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100"/>
        <w:ind w:start="360"/>
        <w:ind w:firstLine="360"/>
      </w:pPr>
      <w:r>
        <w:rPr>
          <w:b/>
        </w:rPr>
        <w:t>3</w:t>
        <w:t xml:space="preserve">.  </w:t>
      </w:r>
      <w:r>
        <w:rPr>
          <w:b/>
        </w:rPr>
        <w:t xml:space="preserve">High-cost placements.</w:t>
        <w:t xml:space="preserve"> </w:t>
      </w:r>
      <w:r>
        <w:t xml:space="preserve"> </w:t>
      </w:r>
      <w:r>
        <w:t xml:space="preserve">A separate allocation must be determined for high-cost special education placements for children eligible under Part B, Section 619 in accordance with this subsection.</w:t>
      </w:r>
    </w:p>
    <w:p>
      <w:pPr>
        <w:jc w:val="both"/>
        <w:spacing w:before="100" w:after="0"/>
        <w:ind w:start="720"/>
      </w:pPr>
      <w:r>
        <w:rPr/>
        <w:t>A</w:t>
        <w:t xml:space="preserve">.  </w:t>
      </w:r>
      <w:r>
        <w:rPr/>
      </w:r>
      <w:r>
        <w:t xml:space="preserve">For high-cost, in-district placements, additional funds must be allocated for each student estimated to cost more than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B</w:t>
        <w:t xml:space="preserve">.  </w:t>
      </w:r>
      <w:r>
        <w:rPr/>
      </w:r>
      <w:r>
        <w:t xml:space="preserve">For private school placements, additional funds must be allocated for each student estimated to cost 4 times the statewide special education preschool per-pupil rate. The additional funds for each student must equal the amount by which that student's estimated costs exceed 4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C</w:t>
        <w:t xml:space="preserve">.  </w:t>
      </w:r>
      <w:r>
        <w:rPr/>
      </w:r>
      <w:r>
        <w:t xml:space="preserve">For public school, out-of-district placements, additional funds must be allocated for each student estimated to cost 3 times the statewide special education preschool per-pupil rate. The additional funds for each student must equal the amount by which that student's estimated costs exceed 3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D</w:t>
        <w:t xml:space="preserve">.  </w:t>
      </w:r>
      <w:r>
        <w:rPr/>
      </w:r>
      <w:r>
        <w:t xml:space="preserve">For public regional special education program placements, additional funds must be allocated for each student estimated to cost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Per-pupil rate for children eligible under Part B, Section 619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Per-pupil rate for children eligible under Part B, Section 619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§7303. PER-PUPIL RATE FOR CHILDREN ELIGIBLE UNDER PART B, SECTION 619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