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Preschool Special Education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Preschool Special Education Program Fund, referred to in this section as "the fund," is established as a nonlapsing fund within the department to provide funding for general education and special education and related services for children eligible under Part B, Section 619.  The department shall distribute funds through a quarterly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Beginning in fiscal year 2024-25, school administrative units that have assumed responsibility for child find activities and for ensuring free, appropriate public education for children eligible under Part B, Section 619 pursuant to </w:t>
      </w:r>
      <w:r>
        <w:t>section 7006, subsection 2</w:t>
      </w:r>
      <w:r>
        <w:t xml:space="preserve"> are eligible to receive allocations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3</w:t>
        <w:t xml:space="preserve">.  </w:t>
      </w:r>
      <w:r>
        <w:rPr>
          <w:b/>
        </w:rPr>
        <w:t xml:space="preserve">Purposes.</w:t>
        <w:t xml:space="preserve"> </w:t>
      </w:r>
      <w:r>
        <w:t xml:space="preserve"> </w:t>
      </w:r>
      <w:r>
        <w:t xml:space="preserve">Allocations from the fund may be made to school administrative units that have assumed the responsibility for child find activities and for ensuring a free, appropriate public education for special education and related services pursuant to </w:t>
      </w:r>
      <w:r>
        <w:t>section 7006, subsection 2</w:t>
      </w:r>
      <w:r>
        <w:t xml:space="preserve"> as outlined in each child's individualized education program and for general education costs for children eligible under Part B, Section 619.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§7304. Preschool Special Education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Preschool Special Education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§7304. PRESCHOOL SPECIAL EDUCATION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