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MaineCare billing system</w:t>
      </w:r>
    </w:p>
    <w:p>
      <w:pPr>
        <w:jc w:val="both"/>
        <w:spacing w:before="100" w:after="100"/>
        <w:ind w:start="360"/>
        <w:ind w:firstLine="360"/>
      </w:pPr>
      <w:r>
        <w:rPr/>
      </w:r>
      <w:r>
        <w:rPr/>
      </w:r>
      <w:r>
        <w:t xml:space="preserve">The department shall establish a centralized MaineCare billing system to bill for eligible services for children eligible under Part B, Section 619. School administrative units may opt out of participation in the centralized MaineCare billing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§7305. MaineCare billing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MaineCare billing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§7305. MAINECARE BILLING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