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10706</w:t>
        <w:t xml:space="preserve">.  </w:t>
      </w:r>
      <w:r>
        <w:rPr>
          <w:b/>
        </w:rPr>
        <w:t xml:space="preserve">Coordinated programs</w:t>
      </w:r>
    </w:p>
    <w:p>
      <w:pPr>
        <w:jc w:val="both"/>
        <w:spacing w:before="100" w:after="100"/>
        <w:ind w:start="360"/>
        <w:ind w:firstLine="360"/>
      </w:pPr>
      <w:r>
        <w:rPr/>
      </w:r>
      <w:r>
        <w:rPr/>
      </w:r>
      <w:r>
        <w:t xml:space="preserve">An educational institution may offer programs for academic credit that are coordinated with a Maine degree-granting educational institution and that have been approved by the state board.</w:t>
      </w:r>
      <w:r>
        <w:t xml:space="preserve">  </w:t>
      </w:r>
      <w:r xmlns:wp="http://schemas.openxmlformats.org/drawingml/2010/wordprocessingDrawing" xmlns:w15="http://schemas.microsoft.com/office/word/2012/wordml">
        <w:rPr>
          <w:rFonts w:ascii="Arial" w:hAnsi="Arial" w:cs="Arial"/>
          <w:sz w:val="22"/>
          <w:szCs w:val="22"/>
        </w:rPr>
        <w:t xml:space="preserve">[PL 2007, c. 572,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§10706. Coordinated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§10706. Coordinated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§10706. COORDINATED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