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6809</w:t>
        <w:t xml:space="preserve">.  </w:t>
      </w:r>
      <w:r>
        <w:rPr>
          <w:b/>
        </w:rPr>
        <w:t xml:space="preserve">Excessive expenditures</w:t>
      </w:r>
    </w:p>
    <w:p>
      <w:pPr>
        <w:jc w:val="both"/>
        <w:spacing w:before="100" w:after="100"/>
        <w:ind w:start="360"/>
        <w:ind w:firstLine="360"/>
      </w:pPr>
      <w:r>
        <w:rPr/>
      </w:r>
      <w:r>
        <w:rPr/>
      </w:r>
      <w:r>
        <w:t xml:space="preserve">After providing an opportunity for a hearing, the commissioner may adjust the state subsidy to an administrative unit when the expenditures for education in such unit show evidence of manipulation to gain an unfair advantage or are adjudged excessive.  Any interested party aggrieved by a decision of the commissioner may appeal to the state board pursuant to </w:t>
      </w:r>
      <w:r>
        <w:t>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§6809. Excessive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§6809. Excessive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§6809. EXCESSIVE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