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INDEPENDENT LIVING SERVICES FOR THE DISABLED</w:t>
      </w:r>
    </w:p>
    <w:p>
      <w:pPr>
        <w:jc w:val="both"/>
        <w:spacing w:before="100" w:after="100"/>
        <w:ind w:start="1080" w:hanging="720"/>
      </w:pPr>
      <w:r>
        <w:rPr>
          <w:b/>
        </w:rPr>
        <w:t>§</w:t>
        <w:t>3081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jc w:val="both"/>
        <w:spacing w:before="100" w:after="100"/>
        <w:ind w:start="1080" w:hanging="720"/>
      </w:pPr>
      <w:r>
        <w:rPr>
          <w:b/>
        </w:rPr>
        <w:t>§</w:t>
        <w:t>3082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jc w:val="both"/>
        <w:spacing w:before="100" w:after="100"/>
        <w:ind w:start="1080" w:hanging="720"/>
      </w:pPr>
      <w:r>
        <w:rPr>
          <w:b/>
        </w:rPr>
        <w:t>§</w:t>
        <w:t>3083</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715. INDEPENDENT LIVING SERVICES FOR THE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INDEPENDENT LIVING SERVICES FOR THE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715. INDEPENDENT LIVING SERVICES FOR THE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