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§51 (AFF). PL 2009, c. 631, §§43, 44 (AMD). PL 2011, c. 407, Pt. B, §§33, 34 (AMD). PL 2017, c. 452,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