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2675</w:t>
        <w:t xml:space="preserve">.  </w:t>
      </w:r>
      <w:r>
        <w:rPr>
          <w:b/>
        </w:rPr>
        <w:t xml:space="preserve">No cause of action created</w:t>
      </w:r>
    </w:p>
    <w:p>
      <w:pPr>
        <w:jc w:val="both"/>
        <w:spacing w:before="100" w:after="100"/>
        <w:ind w:start="360"/>
        <w:ind w:firstLine="360"/>
      </w:pPr>
      <w:r>
        <w:rPr/>
      </w:r>
      <w:r>
        <w:rPr/>
      </w:r>
      <w:r>
        <w:t xml:space="preserve">This chapter does not create a private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 if the manufacturer or other person or entity is complying in good faith with the provisions of this chapter and has exercised reasonable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§2675. No cause of action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§2675. No cause of action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§2675. NO CAUSE OF ACTION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