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§1 (AMD). PL 1975, c. 751, §1 (AMD). PL 1987, c. 349, §H12 (AMD). PL 1989, c. 167, §1 (AMD). PL 2003, c. 689, §B6 (REV). PL 2007, c. 539, Pt. N,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