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3174-MMM</w:t>
        <w:t xml:space="preserve">.  </w:t>
      </w:r>
      <w:r>
        <w:rPr>
          <w:b/>
        </w:rPr>
        <w:t xml:space="preserve">Coverage for gender-affirming care</w:t>
      </w:r>
    </w:p>
    <w:p>
      <w:pPr>
        <w:jc w:val="both"/>
        <w:spacing w:before="100" w:after="100"/>
        <w:ind w:start="360"/>
      </w:pPr>
      <w:r>
        <w:rPr>
          <w:b/>
        </w:rPr>
        <w:t>(REALLOCATED FROM TITLE 22, SECTION 3174-KKK)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"Gender expression" means an individual's gender-related appearance and behavior, whether or not stereotypically associated with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B</w:t>
        <w:t xml:space="preserve">.  </w:t>
      </w:r>
      <w:r>
        <w:rPr/>
      </w:r>
      <w:r>
        <w:t xml:space="preserve">"Gender identity" means an individual's internal sense of that individual's gender, regardless of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C</w:t>
        <w:t xml:space="preserve">.  </w:t>
      </w:r>
      <w:r>
        <w:rPr/>
      </w:r>
      <w:r>
        <w:t xml:space="preserve">"Transgender individual" means an individual who identifies as a gender different from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shall provide reimbursement for medically necessary treatment for or related to gender dysphoria as defined by the Diagnostic and Statistical Manual of Mental Disorders, 5th edition, published by the American Psychiatric Association or a comparable or equivalent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The department may not discriminate in its reimbursement of medically necessary treatment on the basis of a MaineCare member's gender identity or gender expression or on the basis that the MaineCare member is a transgender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§3174-MMM. Coverage for gender-affirming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§3174-MMM. Coverage for gender-affirming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§3174-MMM. COVERAGE FOR GENDER-AFFIRMING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