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Rules</w:t>
      </w:r>
    </w:p>
    <w:p>
      <w:pPr>
        <w:jc w:val="both"/>
        <w:spacing w:before="100" w:after="100"/>
        <w:ind w:start="360"/>
        <w:ind w:firstLine="360"/>
      </w:pPr>
      <w:r>
        <w:rPr/>
      </w:r>
      <w:r>
        <w:rPr/>
      </w:r>
      <w:r>
        <w:t xml:space="preserve">The department shall adopt any rules, standards, criteria, plans or procedures that may be necessary to carry out the provisions and purposes of this Act.  The department shall provide for public notice and hearing on all proposed rules, standards, criteria, plans, procedures or schedules pursuant to </w:t>
      </w:r>
      <w:r>
        <w:t>Title 5, chapter 375</w:t>
      </w:r>
      <w:r>
        <w:t xml:space="preserve">.  Unless otherwise provided by this chapter,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