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w:t>
        <w:t xml:space="preserve">.  </w:t>
      </w:r>
      <w:r>
        <w:rPr>
          <w:b/>
        </w:rPr>
        <w:t xml:space="preserve">Conflict of interest</w:t>
      </w:r>
    </w:p>
    <w:p>
      <w:pPr>
        <w:jc w:val="both"/>
        <w:spacing w:before="100" w:after="100"/>
        <w:ind w:start="360"/>
        <w:ind w:firstLine="360"/>
      </w:pPr>
      <w:r>
        <w:rPr/>
      </w:r>
      <w:r>
        <w:rPr/>
      </w:r>
      <w:r>
        <w:t xml:space="preserve">In addition to the limitations of </w:t>
      </w:r>
      <w:r>
        <w:t>Title 5, section 18</w:t>
      </w:r>
      <w:r>
        <w:t xml:space="preserve">, a member or employee of the department who has a substantial economic or fiduciary interest that would be affected by a recommendation or decision to issue or deny a certificate of need or who has a close relative or economic associate whose interest would be so affected is ineligible to participate in the review, recommendation or decision-making process with respect to any application for which the conflict of interest exists.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§344.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§344.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