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4091</w:t>
        <w:t xml:space="preserve">.  </w:t>
      </w:r>
      <w:r>
        <w:rPr>
          <w:b/>
        </w:rPr>
        <w:t xml:space="preserve">Purpose</w:t>
      </w:r>
    </w:p>
    <w:p>
      <w:pPr>
        <w:jc w:val="both"/>
        <w:spacing w:before="100" w:after="100"/>
        <w:ind w:start="360"/>
        <w:ind w:firstLine="360"/>
      </w:pPr>
      <w:r>
        <w:rPr/>
      </w:r>
      <w:r>
        <w:rPr/>
      </w:r>
      <w:r>
        <w:t xml:space="preserve">The purpose of this subchapter is to encourage the implementation of statewide standards to be developed by the Department of Health and Human Services and participating hospitals for the identification and management of suspected child abuse and neglect cases presented at hospitals by providing financial support for the establishment of hospital-based suspected child abuse and neglect committees.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