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False representation</w:t>
      </w:r>
    </w:p>
    <w:p>
      <w:pPr>
        <w:jc w:val="both"/>
        <w:spacing w:before="100" w:after="100"/>
        <w:ind w:start="360"/>
        <w:ind w:firstLine="360"/>
      </w:pPr>
      <w:r>
        <w:rPr/>
      </w:r>
      <w:r>
        <w:rPr/>
      </w:r>
      <w:r>
        <w:t xml:space="preserve">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§1 (AMD).]</w:t>
      </w:r>
    </w:p>
    <w:p>
      <w:pPr>
        <w:jc w:val="both"/>
        <w:spacing w:before="100" w:after="100"/>
        <w:ind w:start="360"/>
        <w:ind w:firstLine="360"/>
      </w:pPr>
      <w:r>
        <w:rPr/>
      </w:r>
      <w:r>
        <w:rPr/>
      </w:r>
      <w:r>
        <w:t xml:space="preserve">A person disqualified from receiving general assistance for making a false representation must be provided notice and an opportunity for an appeal as provided in </w:t>
      </w:r>
      <w:r>
        <w:t>sections 4321</w:t>
      </w:r>
      <w:r>
        <w:t xml:space="preserve"> and </w:t>
      </w:r>
      <w:r>
        <w:t>4322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If the overseer of any municipality or the fair hearing officer finds that a recipient made a false representation to the overseer in violation of this section, that recipient is required to reimburse the municipality for any assistance rendered for which that recipient was ineligible.  The recipient is ineligible from receiving further assistance for a period of 120 days or until that person reimburses the municipality for the assistance or enters into a written agreement, which must be reasonable under the circumstances, to reimburse that municipality,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§2 (AMD).]</w:t>
      </w:r>
    </w:p>
    <w:p>
      <w:pPr>
        <w:jc w:val="both"/>
        <w:spacing w:before="100" w:after="100"/>
        <w:ind w:start="360"/>
        <w:ind w:firstLine="360"/>
      </w:pPr>
      <w:r>
        <w:rPr/>
      </w:r>
      <w:r>
        <w:rPr/>
      </w:r>
      <w:r>
        <w:t xml:space="preserve">Any recipient whose assistance is terminated or denied under this section has the right to appeal that decision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No recipient who has been granted assistance, in accordance with this chapter, may have that assistance terminated prior to the decision of the fair hearing officer.  In the event of any termination of assistance to any recipient, the dependents of that person may still apply for and, if eligible, receive assistance.</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622, §M24 (AMD). PL 1993, c. 410, §AAA9 (AMD). PL 2015, c. 312,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§4315. False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False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§4315. FALSE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