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w:t>
        <w:t xml:space="preserve">.  </w:t>
      </w:r>
      <w:r>
        <w:rPr>
          <w:b/>
        </w:rPr>
        <w:t xml:space="preserve">Certificate of commissioner as evidence</w:t>
      </w:r>
    </w:p>
    <w:p>
      <w:pPr>
        <w:jc w:val="both"/>
        <w:spacing w:before="100" w:after="100"/>
        <w:ind w:start="360"/>
        <w:ind w:firstLine="360"/>
      </w:pPr>
      <w:r>
        <w:rPr/>
      </w:r>
      <w:r>
        <w:rPr/>
      </w:r>
      <w:r>
        <w:t xml:space="preserve">A certificate of the commissioner in regard to the records of the department is admissible in evidence in all prosecutions under this Title.</w:t>
      </w:r>
      <w:r>
        <w:t xml:space="preserve">  </w:t>
      </w:r>
      <w:r xmlns:wp="http://schemas.openxmlformats.org/drawingml/2010/wordprocessingDrawing" xmlns:w15="http://schemas.microsoft.com/office/word/2012/wordml">
        <w:rPr>
          <w:rFonts w:ascii="Arial" w:hAnsi="Arial" w:cs="Arial"/>
          <w:sz w:val="22"/>
          <w:szCs w:val="22"/>
        </w:rPr>
        <w:t xml:space="preserve">[PL 2003, c. 452, Pt. K,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§K2 (NEW).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 Certificate of commissioner as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 Certificate of commissioner as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§49. CERTIFICATE OF COMMISSIONER AS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