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788, §98 (AMD). PL 1973, c. 793, §11 (RPR). P&amp;SL 1975, c. 90, §§SEC.C,5 (AMD). PL 1975, c. 530 (AMD). PL 1977, c. 78, §151 (AMD). PL 1977, c. 480, §§1,2 (AMD). PL 1977, c. 696, §192 (AMD). PL 1979, c. 541, §A154 (AMD). PL 1981, c. 72, §§1-3 (AMD). PL 1981, c. 463, §D2 (AMD). PL 1981, c. 703, §A31 (AMD). PL 1985, c. 89 (AMD). PL 1989, c. 68, §C3 (AMD). PL 1989, c. 502, §A78 (AMD). PL 1989, c. 679, §3 (AMD). PL 1989, c. 702, §E11 (AMD). PL 1991, c. 408 (AMD). PL 1991, c. 548, §§A20,21 (AMD). PL 1991, c. 622, §QQ3 (AMD). PL 1991, c. 622, §S30 (RP). PL 1993, c. 349, §76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§5112.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