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7269</w:t>
        <w:t xml:space="preserve">.  </w:t>
      </w:r>
      <w:r>
        <w:rPr>
          <w:b/>
        </w:rPr>
        <w:t xml:space="preserve">Rule-making functions of the interstate commission - Article 9</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interstate commission shall promulgate reasonable rules in order to effectively and efficiently achieve the purposes of this compact.  Notwithstanding this subsection, in the event the interstate commission exercises its rule-making authority in a manner that is beyond the scope of the purposes of this compact or the powers granted under this compact, such an action by the interstate commission is invalid and has no force or effect.  Any rules promulgated by the commission do not override the State's authority to govern prescription drugs or each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must be made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§7269. Rule-making functions of the interstate commission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§7269. Rule-making functions of the interstate commission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§7269. RULE-MAKING FUNCTIONS OF THE INTERSTATE COMMISSION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