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360"/>
        <w:ind w:firstLine="360"/>
      </w:pPr>
      <w:r>
        <w:rPr>
          <w:b/>
        </w:rPr>
        <w:t>1</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2</w:t>
        <w:t xml:space="preserve">.  </w:t>
      </w:r>
      <w:r>
        <w:rPr>
          <w:b/>
        </w:rPr>
        <w:t xml:space="preserve">Blood-borne pathogen test.</w:t>
        <w:t xml:space="preserve"> </w:t>
      </w:r>
      <w:r>
        <w:t xml:space="preserve"> </w:t>
      </w:r>
      <w:r>
        <w:t xml:space="preserve">"Blood-borne pathogen test" means a test that indicates the presence of a specific blood-borne transmissible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3</w:t>
        <w:t xml:space="preserve">.  </w:t>
      </w:r>
      <w:r>
        <w:rPr>
          <w:b/>
        </w:rPr>
        <w:t xml:space="preserve">Employer; employer of the person exposed.</w:t>
        <w:t xml:space="preserve"> </w:t>
      </w:r>
      <w:r>
        <w:t xml:space="preserve"> </w:t>
      </w:r>
      <w:r>
        <w:t xml:space="preserve">"Employer" or "employer of the person exposed" includes a self-employed person who is exposed to the potentially infectious blood or other body fluids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natural person, firm, corporation, partnership or other organization, association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