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2013, c. 528, §12)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§8707. PUBLIC ACCESS TO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