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9005</w:t>
        <w:t xml:space="preserve">.  </w:t>
      </w:r>
      <w:r>
        <w:rPr>
          <w:b/>
        </w:rPr>
        <w:t xml:space="preserve">Prohibited employment based on disqualifying offenses</w:t>
      </w:r>
    </w:p>
    <w:p>
      <w:pPr>
        <w:jc w:val="both"/>
        <w:spacing w:before="100" w:after="100"/>
        <w:ind w:start="360"/>
        <w:ind w:firstLine="360"/>
      </w:pPr>
      <w:r>
        <w:rPr>
          <w:b/>
        </w:rPr>
        <w:t>1</w:t>
        <w:t xml:space="preserve">.  </w:t>
      </w:r>
      <w:r>
        <w:rPr>
          <w:b/>
        </w:rPr>
        <w:t xml:space="preserve">Prohibited employment based on disqualifying offenses.</w:t>
        <w:t xml:space="preserve"> </w:t>
      </w:r>
      <w:r>
        <w:t xml:space="preserve"> </w:t>
      </w:r>
      <w:r>
        <w:t xml:space="preserve">A veterans' adult day health care program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but not limited to, a certified nursing assistant or a direct care worker.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360"/>
      </w:pPr>
      <w:r>
        <w:rPr/>
      </w:r>
      <w:r>
        <w:rPr/>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§16 (AMD); PL 2015, c. 299, §24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PL 2015, c. 196, §16 (AMD). PL 2015, c. 299, §24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§9005. Prohibited employment based on disqualifying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§9005. Prohibited employment based on disqualifying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§9005. PROHIBITED EMPLOYMENT BASED ON DISQUALIFYING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