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9055</w:t>
        <w:t xml:space="preserve">.  </w:t>
      </w:r>
      <w:r>
        <w:rPr>
          <w:b/>
        </w:rPr>
        <w:t xml:space="preserve">Background Check Center funding and fees</w:t>
      </w:r>
    </w:p>
    <w:p>
      <w:pPr>
        <w:jc w:val="both"/>
        <w:spacing w:before="100" w:after="100"/>
        <w:ind w:start="360"/>
        <w:ind w:firstLine="360"/>
      </w:pPr>
      <w:r>
        <w:rPr/>
      </w:r>
      <w:r>
        <w:rPr/>
      </w:r>
      <w:r>
        <w:t xml:space="preserve">After the initial construction and operational phase, the Background Check Center is funded through user fees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User fee.</w:t>
        <w:t xml:space="preserve"> </w:t>
      </w:r>
      <w:r>
        <w:t xml:space="preserve"> </w:t>
      </w:r>
      <w:r>
        <w:t xml:space="preserve">The department shall adopt rules to establish Background Check Center user fees. The user fee must reasonably reflect the necessary costs to maintain, operate and develop the Background Check Center. The user fee must be no less than $25 and no more than $150.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Special revenue account.</w:t>
        <w:t xml:space="preserve"> </w:t>
      </w:r>
      <w:r>
        <w:t xml:space="preserve"> </w:t>
      </w:r>
      <w:r>
        <w:t xml:space="preserve">Revenue generated pursuant to this section must be deposited in a special revenue account in the division of licensing and certification and dedicated for Background Check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§9055. Background Check Center funding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§9055. Background Check Center funding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§9055. BACKGROUND CHECK CENTER FUNDING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