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8604</w:t>
        <w:t xml:space="preserve">.  </w:t>
      </w:r>
      <w:r>
        <w:rPr>
          <w:b/>
        </w:rPr>
        <w:t xml:space="preserve">Fee for license</w:t>
      </w:r>
    </w:p>
    <w:p>
      <w:pPr>
        <w:jc w:val="both"/>
        <w:spacing w:before="100" w:after="100"/>
        <w:ind w:start="360"/>
        <w:ind w:firstLine="360"/>
      </w:pPr>
      <w:r>
        <w:rPr/>
      </w:r>
      <w:r>
        <w:rPr/>
      </w:r>
      <w:r>
        <w:t xml:space="preserve">The department shall charge a reasonable fee for a license.  There may be differential fees charged to programs based on numbers of participants, type of license or other considerations.</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§8604. Fee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§8604. Fee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§8604. FEE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